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A39A" w14:textId="16B655A1" w:rsidR="005558AD" w:rsidRDefault="005558AD" w:rsidP="005558AD">
      <w:pPr>
        <w:pStyle w:val="font8"/>
        <w:rPr>
          <w:rFonts w:asciiTheme="majorHAnsi" w:hAnsiTheme="majorHAnsi" w:cstheme="majorHAnsi"/>
          <w:b/>
          <w:bCs/>
          <w:color w:val="000000"/>
          <w:sz w:val="27"/>
          <w:szCs w:val="27"/>
          <w:lang w:val="en-US"/>
        </w:rPr>
      </w:pPr>
    </w:p>
    <w:p w14:paraId="6BFFC572" w14:textId="05655425" w:rsidR="005558AD" w:rsidRDefault="005558AD" w:rsidP="005558AD">
      <w:pPr>
        <w:pStyle w:val="font8"/>
        <w:jc w:val="center"/>
        <w:rPr>
          <w:rFonts w:asciiTheme="majorHAnsi" w:hAnsiTheme="majorHAnsi" w:cstheme="majorHAnsi"/>
          <w:b/>
          <w:bCs/>
          <w:color w:val="000000"/>
          <w:sz w:val="27"/>
          <w:szCs w:val="27"/>
          <w:lang w:val="en-US"/>
        </w:rPr>
      </w:pPr>
      <w:r>
        <w:rPr>
          <w:noProof/>
        </w:rPr>
        <w:drawing>
          <wp:inline distT="0" distB="0" distL="0" distR="0" wp14:anchorId="3B875F90" wp14:editId="40B51197">
            <wp:extent cx="2743200" cy="1313150"/>
            <wp:effectExtent l="0" t="0" r="0" b="190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1087" cy="1326499"/>
                    </a:xfrm>
                    <a:prstGeom prst="rect">
                      <a:avLst/>
                    </a:prstGeom>
                    <a:noFill/>
                    <a:ln>
                      <a:noFill/>
                    </a:ln>
                  </pic:spPr>
                </pic:pic>
              </a:graphicData>
            </a:graphic>
          </wp:inline>
        </w:drawing>
      </w:r>
    </w:p>
    <w:p w14:paraId="3DA4E2A0" w14:textId="77777777" w:rsidR="005558AD" w:rsidRDefault="005558AD" w:rsidP="005558AD">
      <w:pPr>
        <w:pStyle w:val="font8"/>
        <w:rPr>
          <w:rFonts w:asciiTheme="majorHAnsi" w:hAnsiTheme="majorHAnsi" w:cstheme="majorHAnsi"/>
          <w:b/>
          <w:bCs/>
          <w:color w:val="000000"/>
          <w:sz w:val="27"/>
          <w:szCs w:val="27"/>
          <w:lang w:val="en-US"/>
        </w:rPr>
      </w:pPr>
    </w:p>
    <w:p w14:paraId="6A17AEC5" w14:textId="64B63890" w:rsidR="005558AD" w:rsidRPr="005558AD" w:rsidRDefault="005558AD" w:rsidP="005558AD">
      <w:pPr>
        <w:pStyle w:val="font8"/>
        <w:rPr>
          <w:rFonts w:asciiTheme="majorHAnsi" w:hAnsiTheme="majorHAnsi" w:cstheme="majorHAnsi"/>
          <w:sz w:val="27"/>
          <w:szCs w:val="27"/>
          <w:lang w:val="en-US"/>
        </w:rPr>
      </w:pPr>
      <w:r w:rsidRPr="005558AD">
        <w:rPr>
          <w:rFonts w:asciiTheme="majorHAnsi" w:hAnsiTheme="majorHAnsi" w:cstheme="majorHAnsi"/>
          <w:b/>
          <w:bCs/>
          <w:color w:val="000000"/>
          <w:sz w:val="27"/>
          <w:szCs w:val="27"/>
          <w:lang w:val="en-US"/>
        </w:rPr>
        <w:t>ABOUT ANTHRAX 2022</w:t>
      </w:r>
    </w:p>
    <w:p w14:paraId="384E51F5" w14:textId="509F9F7D" w:rsidR="005558AD" w:rsidRPr="005558AD" w:rsidRDefault="005558AD" w:rsidP="005558AD">
      <w:pPr>
        <w:pStyle w:val="font8"/>
        <w:rPr>
          <w:rFonts w:asciiTheme="majorHAnsi" w:hAnsiTheme="majorHAnsi" w:cstheme="majorHAnsi"/>
          <w:sz w:val="23"/>
          <w:szCs w:val="23"/>
          <w:lang w:val="en-US"/>
        </w:rPr>
      </w:pPr>
      <w:r w:rsidRPr="005558AD">
        <w:rPr>
          <w:rStyle w:val="wixguard"/>
          <w:rFonts w:asciiTheme="majorHAnsi" w:hAnsiTheme="majorHAnsi" w:cstheme="majorHAnsi"/>
          <w:sz w:val="23"/>
          <w:szCs w:val="23"/>
          <w:lang w:val="en-US"/>
        </w:rPr>
        <w:t>​</w:t>
      </w:r>
      <w:r w:rsidRPr="005558AD">
        <w:rPr>
          <w:rFonts w:asciiTheme="majorHAnsi" w:hAnsiTheme="majorHAnsi" w:cstheme="majorHAnsi"/>
          <w:color w:val="000000"/>
          <w:sz w:val="23"/>
          <w:szCs w:val="23"/>
          <w:lang w:val="en-US"/>
        </w:rPr>
        <w:t xml:space="preserve">July 18, </w:t>
      </w:r>
      <w:proofErr w:type="gramStart"/>
      <w:r w:rsidRPr="005558AD">
        <w:rPr>
          <w:rFonts w:asciiTheme="majorHAnsi" w:hAnsiTheme="majorHAnsi" w:cstheme="majorHAnsi"/>
          <w:color w:val="000000"/>
          <w:sz w:val="23"/>
          <w:szCs w:val="23"/>
          <w:lang w:val="en-US"/>
        </w:rPr>
        <w:t>2021</w:t>
      </w:r>
      <w:proofErr w:type="gramEnd"/>
      <w:r w:rsidRPr="005558AD">
        <w:rPr>
          <w:rFonts w:asciiTheme="majorHAnsi" w:hAnsiTheme="majorHAnsi" w:cstheme="majorHAnsi"/>
          <w:color w:val="000000"/>
          <w:sz w:val="23"/>
          <w:szCs w:val="23"/>
          <w:lang w:val="en-US"/>
        </w:rPr>
        <w:t xml:space="preserve"> marked Anthrax's 40th anniversary, during which time the band released 11 studio albums, was awarded multiple Gold and Platinum certifications, received six GRAMMY nominations, and a host of other accolades from the media, the music industry, and fans.  In 1991, the band helped break down race and genre barriers when they collaborated with Public Enemy on the track "Bring </w:t>
      </w:r>
      <w:proofErr w:type="gramStart"/>
      <w:r w:rsidRPr="005558AD">
        <w:rPr>
          <w:rFonts w:asciiTheme="majorHAnsi" w:hAnsiTheme="majorHAnsi" w:cstheme="majorHAnsi"/>
          <w:color w:val="000000"/>
          <w:sz w:val="23"/>
          <w:szCs w:val="23"/>
          <w:lang w:val="en-US"/>
        </w:rPr>
        <w:t>The</w:t>
      </w:r>
      <w:proofErr w:type="gramEnd"/>
      <w:r w:rsidRPr="005558AD">
        <w:rPr>
          <w:rFonts w:asciiTheme="majorHAnsi" w:hAnsiTheme="majorHAnsi" w:cstheme="majorHAnsi"/>
          <w:color w:val="000000"/>
          <w:sz w:val="23"/>
          <w:szCs w:val="23"/>
          <w:lang w:val="en-US"/>
        </w:rPr>
        <w:t xml:space="preserv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of now sold-out signature whiskeys and bourbons and partnered with the Stockholm-based NEZUMI Studios for a high-end, limited-edition </w:t>
      </w:r>
      <w:proofErr w:type="spellStart"/>
      <w:r w:rsidRPr="005558AD">
        <w:rPr>
          <w:rFonts w:asciiTheme="majorHAnsi" w:hAnsiTheme="majorHAnsi" w:cstheme="majorHAnsi"/>
          <w:color w:val="000000"/>
          <w:sz w:val="23"/>
          <w:szCs w:val="23"/>
          <w:lang w:val="en-US"/>
        </w:rPr>
        <w:t>Baleine</w:t>
      </w:r>
      <w:proofErr w:type="spellEnd"/>
      <w:r w:rsidRPr="005558AD">
        <w:rPr>
          <w:rFonts w:asciiTheme="majorHAnsi" w:hAnsiTheme="majorHAnsi" w:cstheme="majorHAnsi"/>
          <w:color w:val="000000"/>
          <w:sz w:val="23"/>
          <w:szCs w:val="23"/>
          <w:lang w:val="en-US"/>
        </w:rPr>
        <w:t xml:space="preserve"> dive watch. Twenty-twenty-one also saw the release of Z2 Comics' "Among the Living" graphic novel with a track-by-track storyline inspired by Anthrax's iconic 1987 album, Among </w:t>
      </w:r>
      <w:proofErr w:type="gramStart"/>
      <w:r w:rsidRPr="005558AD">
        <w:rPr>
          <w:rFonts w:asciiTheme="majorHAnsi" w:hAnsiTheme="majorHAnsi" w:cstheme="majorHAnsi"/>
          <w:color w:val="000000"/>
          <w:sz w:val="23"/>
          <w:szCs w:val="23"/>
          <w:lang w:val="en-US"/>
        </w:rPr>
        <w:t>The</w:t>
      </w:r>
      <w:proofErr w:type="gramEnd"/>
      <w:r w:rsidRPr="005558AD">
        <w:rPr>
          <w:rFonts w:asciiTheme="majorHAnsi" w:hAnsiTheme="majorHAnsi" w:cstheme="majorHAnsi"/>
          <w:color w:val="000000"/>
          <w:sz w:val="23"/>
          <w:szCs w:val="23"/>
          <w:lang w:val="en-US"/>
        </w:rPr>
        <w:t xml:space="preserve"> Living.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2FAAE9FD" w14:textId="77777777" w:rsidR="005558AD" w:rsidRPr="005558AD" w:rsidRDefault="005558AD" w:rsidP="005558AD">
      <w:pPr>
        <w:pStyle w:val="font8"/>
        <w:rPr>
          <w:rFonts w:asciiTheme="majorHAnsi" w:hAnsiTheme="majorHAnsi" w:cstheme="majorHAnsi"/>
          <w:sz w:val="23"/>
          <w:szCs w:val="23"/>
          <w:lang w:val="en-US"/>
        </w:rPr>
      </w:pPr>
      <w:r w:rsidRPr="005558AD">
        <w:rPr>
          <w:rFonts w:asciiTheme="majorHAnsi" w:hAnsiTheme="majorHAnsi" w:cstheme="majorHAnsi"/>
          <w:sz w:val="23"/>
          <w:szCs w:val="23"/>
          <w:lang w:val="en-US"/>
        </w:rPr>
        <w:t> </w:t>
      </w:r>
    </w:p>
    <w:p w14:paraId="4ADF5B69" w14:textId="77777777" w:rsidR="005558AD" w:rsidRPr="005558AD" w:rsidRDefault="005558AD" w:rsidP="005558AD">
      <w:pPr>
        <w:pStyle w:val="font8"/>
        <w:rPr>
          <w:rFonts w:asciiTheme="majorHAnsi" w:hAnsiTheme="majorHAnsi" w:cstheme="majorHAnsi"/>
          <w:sz w:val="23"/>
          <w:szCs w:val="23"/>
          <w:lang w:val="en-US"/>
        </w:rPr>
      </w:pPr>
      <w:r w:rsidRPr="005558AD">
        <w:rPr>
          <w:rFonts w:asciiTheme="majorHAnsi" w:hAnsiTheme="majorHAnsi" w:cstheme="majorHAnsi"/>
          <w:color w:val="000000"/>
          <w:sz w:val="23"/>
          <w:szCs w:val="23"/>
          <w:lang w:val="en-US"/>
        </w:rPr>
        <w:t>For Anthrax, 2022 is already off to a great start, but their 40th anniversary isn't quite in the band's rear-view mirror.  Unable to launch a planned 40th anniversary world tour due to COVID, the band will launch that World Tour this year. The celebrations start </w:t>
      </w:r>
      <w:hyperlink r:id="rId5" w:tgtFrame="_blank" w:history="1">
        <w:r w:rsidRPr="005558AD">
          <w:rPr>
            <w:rStyle w:val="Hyperlink"/>
            <w:rFonts w:asciiTheme="majorHAnsi" w:hAnsiTheme="majorHAnsi" w:cstheme="majorHAnsi"/>
            <w:sz w:val="23"/>
            <w:szCs w:val="23"/>
            <w:lang w:val="en-US"/>
          </w:rPr>
          <w:t>July 26 in</w:t>
        </w:r>
        <w:r w:rsidRPr="005558AD">
          <w:rPr>
            <w:rStyle w:val="Hyperlink"/>
            <w:rFonts w:asciiTheme="majorHAnsi" w:hAnsiTheme="majorHAnsi" w:cstheme="majorHAnsi"/>
            <w:sz w:val="23"/>
            <w:szCs w:val="23"/>
            <w:lang w:val="en-US"/>
          </w:rPr>
          <w:t xml:space="preserve"> </w:t>
        </w:r>
        <w:r w:rsidRPr="005558AD">
          <w:rPr>
            <w:rStyle w:val="Hyperlink"/>
            <w:rFonts w:asciiTheme="majorHAnsi" w:hAnsiTheme="majorHAnsi" w:cstheme="majorHAnsi"/>
            <w:sz w:val="23"/>
            <w:szCs w:val="23"/>
            <w:lang w:val="en-US"/>
          </w:rPr>
          <w:t>North America,</w:t>
        </w:r>
      </w:hyperlink>
      <w:r w:rsidRPr="005558AD">
        <w:rPr>
          <w:rFonts w:asciiTheme="majorHAnsi" w:hAnsiTheme="majorHAnsi" w:cstheme="majorHAnsi"/>
          <w:color w:val="000000"/>
          <w:sz w:val="23"/>
          <w:szCs w:val="23"/>
          <w:lang w:val="en-US"/>
        </w:rPr>
        <w:t> co-headlining with Black Label Society, then a headline trek in the </w:t>
      </w:r>
      <w:hyperlink r:id="rId6" w:tgtFrame="_blank" w:history="1">
        <w:r w:rsidRPr="005558AD">
          <w:rPr>
            <w:rStyle w:val="Hyperlink"/>
            <w:rFonts w:asciiTheme="majorHAnsi" w:hAnsiTheme="majorHAnsi" w:cstheme="majorHAnsi"/>
            <w:sz w:val="23"/>
            <w:szCs w:val="23"/>
            <w:lang w:val="en-US"/>
          </w:rPr>
          <w:t>UK and Europe in the fall. </w:t>
        </w:r>
      </w:hyperlink>
      <w:r w:rsidRPr="005558AD">
        <w:rPr>
          <w:rFonts w:asciiTheme="majorHAnsi" w:hAnsiTheme="majorHAnsi" w:cstheme="majorHAnsi"/>
          <w:color w:val="000000"/>
          <w:sz w:val="23"/>
          <w:szCs w:val="23"/>
          <w:lang w:val="en-US"/>
        </w:rPr>
        <w:t> </w:t>
      </w:r>
    </w:p>
    <w:p w14:paraId="75C2B670" w14:textId="77777777" w:rsidR="005558AD" w:rsidRPr="005558AD" w:rsidRDefault="005558AD" w:rsidP="005558AD">
      <w:pPr>
        <w:pStyle w:val="font8"/>
        <w:rPr>
          <w:rFonts w:asciiTheme="majorHAnsi" w:hAnsiTheme="majorHAnsi" w:cstheme="majorHAnsi"/>
          <w:sz w:val="23"/>
          <w:szCs w:val="23"/>
          <w:lang w:val="en-US"/>
        </w:rPr>
      </w:pPr>
      <w:r w:rsidRPr="005558AD">
        <w:rPr>
          <w:rStyle w:val="wixguard"/>
          <w:rFonts w:asciiTheme="majorHAnsi" w:hAnsiTheme="majorHAnsi" w:cstheme="majorHAnsi"/>
          <w:sz w:val="23"/>
          <w:szCs w:val="23"/>
          <w:lang w:val="en-US"/>
        </w:rPr>
        <w:t>​</w:t>
      </w:r>
      <w:r w:rsidRPr="005558AD">
        <w:rPr>
          <w:rFonts w:asciiTheme="majorHAnsi" w:hAnsiTheme="majorHAnsi" w:cstheme="majorHAnsi"/>
          <w:sz w:val="23"/>
          <w:szCs w:val="23"/>
          <w:lang w:val="en-US"/>
        </w:rPr>
        <w:br/>
        <w:t> </w:t>
      </w:r>
    </w:p>
    <w:p w14:paraId="49DDEB16" w14:textId="12D1ED1E" w:rsidR="005558AD" w:rsidRPr="005558AD" w:rsidRDefault="005558AD" w:rsidP="005558AD">
      <w:pPr>
        <w:pStyle w:val="font8"/>
        <w:rPr>
          <w:rFonts w:asciiTheme="majorHAnsi" w:hAnsiTheme="majorHAnsi" w:cstheme="majorHAnsi"/>
          <w:b/>
          <w:bCs/>
          <w:color w:val="000000"/>
          <w:sz w:val="23"/>
          <w:szCs w:val="23"/>
          <w:lang w:val="en-US"/>
        </w:rPr>
      </w:pPr>
      <w:r w:rsidRPr="005558AD">
        <w:rPr>
          <w:rFonts w:asciiTheme="majorHAnsi" w:hAnsiTheme="majorHAnsi" w:cstheme="majorHAnsi"/>
          <w:b/>
          <w:bCs/>
          <w:color w:val="000000"/>
          <w:sz w:val="23"/>
          <w:szCs w:val="23"/>
          <w:lang w:val="en-US"/>
        </w:rPr>
        <w:t>Anthrax is:  </w:t>
      </w:r>
      <w:r w:rsidRPr="005558AD">
        <w:rPr>
          <w:rFonts w:asciiTheme="majorHAnsi" w:hAnsiTheme="majorHAnsi" w:cstheme="majorHAnsi"/>
          <w:b/>
          <w:bCs/>
          <w:color w:val="000000"/>
          <w:sz w:val="23"/>
          <w:szCs w:val="23"/>
          <w:lang w:val="en-US"/>
        </w:rPr>
        <w:br/>
      </w:r>
      <w:r w:rsidRPr="005558AD">
        <w:rPr>
          <w:rFonts w:asciiTheme="majorHAnsi" w:hAnsiTheme="majorHAnsi" w:cstheme="majorHAnsi"/>
          <w:color w:val="000000"/>
          <w:sz w:val="23"/>
          <w:szCs w:val="23"/>
          <w:lang w:val="en-US"/>
        </w:rPr>
        <w:t xml:space="preserve">Scott Ian/guitars, </w:t>
      </w:r>
      <w:r w:rsidRPr="005558AD">
        <w:rPr>
          <w:rFonts w:asciiTheme="majorHAnsi" w:hAnsiTheme="majorHAnsi" w:cstheme="majorHAnsi"/>
          <w:color w:val="000000"/>
          <w:sz w:val="23"/>
          <w:szCs w:val="23"/>
          <w:lang w:val="en-US"/>
        </w:rPr>
        <w:br/>
      </w:r>
      <w:r w:rsidRPr="005558AD">
        <w:rPr>
          <w:rFonts w:asciiTheme="majorHAnsi" w:hAnsiTheme="majorHAnsi" w:cstheme="majorHAnsi"/>
          <w:color w:val="000000"/>
          <w:sz w:val="23"/>
          <w:szCs w:val="23"/>
          <w:lang w:val="en-US"/>
        </w:rPr>
        <w:t>Frank Bello/bass</w:t>
      </w:r>
      <w:r w:rsidRPr="005558AD">
        <w:rPr>
          <w:rFonts w:asciiTheme="majorHAnsi" w:hAnsiTheme="majorHAnsi" w:cstheme="majorHAnsi"/>
          <w:color w:val="000000"/>
          <w:sz w:val="23"/>
          <w:szCs w:val="23"/>
          <w:lang w:val="en-US"/>
        </w:rPr>
        <w:br/>
      </w:r>
      <w:r w:rsidRPr="005558AD">
        <w:rPr>
          <w:rFonts w:asciiTheme="majorHAnsi" w:hAnsiTheme="majorHAnsi" w:cstheme="majorHAnsi"/>
          <w:color w:val="000000"/>
          <w:sz w:val="23"/>
          <w:szCs w:val="23"/>
          <w:lang w:val="en-US"/>
        </w:rPr>
        <w:t>Charlie Benante/drums</w:t>
      </w:r>
      <w:r w:rsidRPr="005558AD">
        <w:rPr>
          <w:rFonts w:asciiTheme="majorHAnsi" w:hAnsiTheme="majorHAnsi" w:cstheme="majorHAnsi"/>
          <w:color w:val="000000"/>
          <w:sz w:val="23"/>
          <w:szCs w:val="23"/>
          <w:lang w:val="en-US"/>
        </w:rPr>
        <w:br/>
      </w:r>
      <w:r w:rsidRPr="005558AD">
        <w:rPr>
          <w:rFonts w:asciiTheme="majorHAnsi" w:hAnsiTheme="majorHAnsi" w:cstheme="majorHAnsi"/>
          <w:color w:val="000000"/>
          <w:sz w:val="23"/>
          <w:szCs w:val="23"/>
          <w:lang w:val="en-US"/>
        </w:rPr>
        <w:t>Joey Belladonna/vocals</w:t>
      </w:r>
      <w:r w:rsidRPr="005558AD">
        <w:rPr>
          <w:rFonts w:asciiTheme="majorHAnsi" w:hAnsiTheme="majorHAnsi" w:cstheme="majorHAnsi"/>
          <w:color w:val="000000"/>
          <w:sz w:val="23"/>
          <w:szCs w:val="23"/>
          <w:lang w:val="en-US"/>
        </w:rPr>
        <w:br/>
      </w:r>
      <w:r w:rsidRPr="005558AD">
        <w:rPr>
          <w:rFonts w:asciiTheme="majorHAnsi" w:hAnsiTheme="majorHAnsi" w:cstheme="majorHAnsi"/>
          <w:color w:val="000000"/>
          <w:sz w:val="23"/>
          <w:szCs w:val="23"/>
          <w:lang w:val="en-US"/>
        </w:rPr>
        <w:t>Jonathan Donias/guitars</w:t>
      </w:r>
    </w:p>
    <w:p w14:paraId="65D4DA0F" w14:textId="77777777" w:rsidR="00651376" w:rsidRPr="005558AD" w:rsidRDefault="00651376">
      <w:pPr>
        <w:rPr>
          <w:lang w:val="en-US"/>
        </w:rPr>
      </w:pPr>
    </w:p>
    <w:sectPr w:rsidR="00651376" w:rsidRPr="005558AD" w:rsidSect="005558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AD"/>
    <w:rsid w:val="005558AD"/>
    <w:rsid w:val="00651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4FDC"/>
  <w15:chartTrackingRefBased/>
  <w15:docId w15:val="{E8EF4180-C3C6-4AE5-A08E-F1FA6FF5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5558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5558AD"/>
  </w:style>
  <w:style w:type="character" w:styleId="Hyperlink">
    <w:name w:val="Hyperlink"/>
    <w:basedOn w:val="Absatz-Standardschriftart"/>
    <w:uiPriority w:val="99"/>
    <w:semiHidden/>
    <w:unhideWhenUsed/>
    <w:rsid w:val="005558AD"/>
    <w:rPr>
      <w:color w:val="0000FF"/>
      <w:u w:val="single"/>
    </w:rPr>
  </w:style>
  <w:style w:type="character" w:styleId="BesuchterLink">
    <w:name w:val="FollowedHyperlink"/>
    <w:basedOn w:val="Absatz-Standardschriftart"/>
    <w:uiPriority w:val="99"/>
    <w:semiHidden/>
    <w:unhideWhenUsed/>
    <w:rsid w:val="00555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fitzpr.net/anthrax-european-tour-2021-pr" TargetMode="External"/><Relationship Id="rId5" Type="http://schemas.openxmlformats.org/officeDocument/2006/relationships/hyperlink" Target="https://www.herfitzpr.net/anthrax-bls-2022-tour-p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1772</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Raffaela</dc:creator>
  <cp:keywords/>
  <dc:description/>
  <cp:lastModifiedBy>Raffaela</cp:lastModifiedBy>
  <cp:revision>1</cp:revision>
  <dcterms:created xsi:type="dcterms:W3CDTF">2022-05-31T14:20:00Z</dcterms:created>
  <dcterms:modified xsi:type="dcterms:W3CDTF">2022-05-31T14:24:00Z</dcterms:modified>
</cp:coreProperties>
</file>